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A" w:rsidRPr="00C4164A" w:rsidRDefault="00C4164A" w:rsidP="00C4164A">
      <w:pPr>
        <w:spacing w:after="0" w:line="240" w:lineRule="auto"/>
        <w:jc w:val="both"/>
        <w:rPr>
          <w:rFonts w:ascii="Times New Roman" w:hAnsi="Times New Roman" w:cs="Times New Roman"/>
        </w:rPr>
      </w:pPr>
      <w:r w:rsidRPr="00C4164A">
        <w:rPr>
          <w:rFonts w:ascii="Times New Roman" w:eastAsia="Times New Roman" w:hAnsi="Times New Roman" w:cs="Times New Roman"/>
          <w:color w:val="000000"/>
          <w:shd w:val="clear" w:color="auto" w:fill="FFFFFF"/>
          <w:lang w:eastAsia="ru-RU"/>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маркировка</w:t>
      </w:r>
      <w:r>
        <w:rPr>
          <w:rFonts w:ascii="Times New Roman" w:eastAsia="Times New Roman" w:hAnsi="Times New Roman" w:cs="Times New Roman"/>
          <w:color w:val="000000"/>
          <w:shd w:val="clear" w:color="auto" w:fill="FFFFFF"/>
          <w:lang w:eastAsia="ru-RU"/>
        </w:rPr>
        <w:t xml:space="preserve">, </w:t>
      </w:r>
      <w:r w:rsidRPr="00C4164A">
        <w:rPr>
          <w:rFonts w:ascii="Times New Roman" w:eastAsia="Times New Roman" w:hAnsi="Times New Roman" w:cs="Times New Roman"/>
          <w:color w:val="000000"/>
          <w:shd w:val="clear" w:color="auto" w:fill="FFFFFF"/>
          <w:lang w:eastAsia="ru-RU"/>
        </w:rPr>
        <w:t>деревянная и т.д.). Обязательно должна быть указана информация о производителе, знак соответствия и документ, по которому она изготовлена (ГОСТ, ТУ).</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r w:rsidRPr="00C4164A">
        <w:rPr>
          <w:rFonts w:ascii="Times New Roman" w:eastAsia="Times New Roman" w:hAnsi="Times New Roman" w:cs="Times New Roman"/>
          <w:color w:val="000000"/>
          <w:shd w:val="clear" w:color="auto" w:fill="FFFFFF"/>
          <w:lang w:eastAsia="ru-RU"/>
        </w:rPr>
        <w:t>психо-эмоциональная</w:t>
      </w:r>
      <w:proofErr w:type="spellEnd"/>
      <w:r w:rsidRPr="00C4164A">
        <w:rPr>
          <w:rFonts w:ascii="Times New Roman" w:eastAsia="Times New Roman" w:hAnsi="Times New Roman" w:cs="Times New Roman"/>
          <w:color w:val="000000"/>
          <w:shd w:val="clear" w:color="auto" w:fill="FFFFFF"/>
          <w:lang w:eastAsia="ru-RU"/>
        </w:rPr>
        <w:t xml:space="preserve"> нестабильность и т.д.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О наличии таких игрушек в продаже необходимо сообщить в </w:t>
      </w:r>
      <w:proofErr w:type="spellStart"/>
      <w:r w:rsidRPr="00C4164A">
        <w:rPr>
          <w:rFonts w:ascii="Times New Roman" w:eastAsia="Times New Roman" w:hAnsi="Times New Roman" w:cs="Times New Roman"/>
          <w:color w:val="000000"/>
          <w:shd w:val="clear" w:color="auto" w:fill="FFFFFF"/>
          <w:lang w:eastAsia="ru-RU"/>
        </w:rPr>
        <w:t>Роспотребнадзор</w:t>
      </w:r>
      <w:proofErr w:type="spellEnd"/>
      <w:r w:rsidRPr="00C4164A">
        <w:rPr>
          <w:rFonts w:ascii="Times New Roman" w:eastAsia="Times New Roman" w:hAnsi="Times New Roman" w:cs="Times New Roman"/>
          <w:color w:val="000000"/>
          <w:shd w:val="clear" w:color="auto" w:fill="FFFFFF"/>
          <w:lang w:eastAsia="ru-RU"/>
        </w:rPr>
        <w:t xml:space="preserve"> в письменной форме.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Есть некоторые особенности при приобретении игровых приставок с цифровым блоком управления. Эти товары относятся к технически сложным и это отражено в п. 9 Перечня технически сложных товаров, утвержденного Постановлением Правительства РФ от 10.11.2011г. № 924. Если в таком товаре обнаружился недостаток в пределах 15 дней с момента его приобретения, то вы вправе заявить любое из требований ст. 18 Закона «О Защите прав потребителей». За пределами этого срока при обнаружении недостатка в товаре вы может рассчитывать на проведение гарантийного ремонта в соответствии со ст. 20 Закона «О Защите прав потребителей».</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proofErr w:type="gramStart"/>
      <w:r w:rsidRPr="00C4164A">
        <w:rPr>
          <w:rFonts w:ascii="Times New Roman" w:eastAsia="Times New Roman" w:hAnsi="Times New Roman" w:cs="Times New Roman"/>
          <w:color w:val="000000"/>
          <w:shd w:val="clear" w:color="auto" w:fill="FFFFFF"/>
          <w:lang w:eastAsia="ru-RU"/>
        </w:rPr>
        <w:lastRenderedPageBreak/>
        <w:t>Если вы все же приобрели игровую приставку с цифровым блоком управления или электронную игрушку и по каким-то причинам, не связанным с качеством, захотели их вернуть, то знайте, в соответствии с Перечнем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утвержденным Постановлением Правительства РФ от 19.01.1998г. № 55 «Правила</w:t>
      </w:r>
      <w:proofErr w:type="gramEnd"/>
      <w:r w:rsidRPr="00C4164A">
        <w:rPr>
          <w:rFonts w:ascii="Times New Roman" w:eastAsia="Times New Roman" w:hAnsi="Times New Roman" w:cs="Times New Roman"/>
          <w:color w:val="000000"/>
          <w:shd w:val="clear" w:color="auto" w:fill="FFFFFF"/>
          <w:lang w:eastAsia="ru-RU"/>
        </w:rPr>
        <w:t xml:space="preserve"> продажи отдельных видов товаров» они </w:t>
      </w:r>
      <w:r w:rsidRPr="00C4164A">
        <w:rPr>
          <w:rFonts w:ascii="Times New Roman" w:eastAsia="Times New Roman" w:hAnsi="Times New Roman" w:cs="Times New Roman"/>
          <w:b/>
          <w:bCs/>
          <w:color w:val="000000"/>
          <w:shd w:val="clear" w:color="auto" w:fill="FFFFFF"/>
          <w:lang w:eastAsia="ru-RU"/>
        </w:rPr>
        <w:t>не подлежат</w:t>
      </w:r>
      <w:r w:rsidRPr="00C4164A">
        <w:rPr>
          <w:rFonts w:ascii="Times New Roman" w:eastAsia="Times New Roman" w:hAnsi="Times New Roman" w:cs="Times New Roman"/>
          <w:color w:val="000000"/>
          <w:shd w:val="clear" w:color="auto" w:fill="FFFFFF"/>
          <w:lang w:eastAsia="ru-RU"/>
        </w:rPr>
        <w:t xml:space="preserve"> возврату продавцу как качественный товар, даже если сохранен их товарный вид, упаковка и </w:t>
      </w:r>
    </w:p>
    <w:p w:rsidR="00C4164A" w:rsidRDefault="00C4164A" w:rsidP="00C4164A">
      <w:pPr>
        <w:shd w:val="clear" w:color="auto" w:fill="FFFFFF"/>
        <w:spacing w:after="0" w:line="240" w:lineRule="auto"/>
        <w:outlineLvl w:val="1"/>
        <w:rPr>
          <w:rFonts w:ascii="Times New Roman" w:eastAsia="Times New Roman" w:hAnsi="Times New Roman" w:cs="Times New Roman"/>
          <w:color w:val="000000"/>
          <w:shd w:val="clear" w:color="auto" w:fill="FFFFFF"/>
          <w:lang w:eastAsia="ru-RU"/>
        </w:rPr>
      </w:pPr>
    </w:p>
    <w:p w:rsidR="00C4164A" w:rsidRDefault="00C4164A" w:rsidP="00C4164A">
      <w:pPr>
        <w:pStyle w:val="a3"/>
        <w:shd w:val="clear" w:color="auto" w:fill="FFFFFF"/>
        <w:spacing w:before="0" w:beforeAutospacing="0" w:after="0" w:afterAutospacing="0"/>
        <w:ind w:firstLine="567"/>
        <w:jc w:val="both"/>
        <w:rPr>
          <w:i/>
          <w:iCs/>
          <w:sz w:val="22"/>
          <w:szCs w:val="22"/>
          <w:shd w:val="clear" w:color="auto" w:fill="FFFFFF"/>
        </w:rPr>
      </w:pPr>
    </w:p>
    <w:p w:rsidR="00C4164A" w:rsidRPr="00E10708" w:rsidRDefault="00C4164A" w:rsidP="00C4164A">
      <w:pPr>
        <w:pStyle w:val="a3"/>
        <w:shd w:val="clear" w:color="auto" w:fill="FFFFFF"/>
        <w:spacing w:before="0" w:beforeAutospacing="0" w:after="0" w:afterAutospacing="0"/>
        <w:ind w:firstLine="567"/>
        <w:jc w:val="both"/>
        <w:rPr>
          <w:sz w:val="22"/>
          <w:szCs w:val="22"/>
        </w:rPr>
      </w:pPr>
      <w:r w:rsidRPr="00E10708">
        <w:rPr>
          <w:i/>
          <w:iCs/>
          <w:sz w:val="22"/>
          <w:szCs w:val="22"/>
          <w:shd w:val="clear" w:color="auto" w:fill="FFFFFF"/>
        </w:rPr>
        <w:t>Подготовлено Консультационным пунктом ФФБУЗ «Центр гигиены и</w:t>
      </w:r>
      <w:r w:rsidRPr="00E10708">
        <w:rPr>
          <w:sz w:val="22"/>
          <w:szCs w:val="22"/>
        </w:rPr>
        <w:t xml:space="preserve"> </w:t>
      </w:r>
      <w:r w:rsidRPr="00E10708">
        <w:rPr>
          <w:i/>
          <w:iCs/>
          <w:sz w:val="22"/>
          <w:szCs w:val="22"/>
          <w:shd w:val="clear" w:color="auto" w:fill="FFFFFF"/>
        </w:rPr>
        <w:t xml:space="preserve">эпидемиологии </w:t>
      </w:r>
      <w:proofErr w:type="gramStart"/>
      <w:r w:rsidRPr="00E10708">
        <w:rPr>
          <w:i/>
          <w:iCs/>
          <w:sz w:val="22"/>
          <w:szCs w:val="22"/>
          <w:shd w:val="clear" w:color="auto" w:fill="FFFFFF"/>
        </w:rPr>
        <w:t>в</w:t>
      </w:r>
      <w:proofErr w:type="gramEnd"/>
      <w:r w:rsidRPr="00E10708">
        <w:rPr>
          <w:i/>
          <w:iCs/>
          <w:sz w:val="22"/>
          <w:szCs w:val="22"/>
          <w:shd w:val="clear" w:color="auto" w:fill="FFFFFF"/>
        </w:rPr>
        <w:t xml:space="preserve"> </w:t>
      </w:r>
      <w:proofErr w:type="gramStart"/>
      <w:r w:rsidRPr="00E10708">
        <w:rPr>
          <w:i/>
          <w:iCs/>
          <w:sz w:val="22"/>
          <w:szCs w:val="22"/>
          <w:shd w:val="clear" w:color="auto" w:fill="FFFFFF"/>
        </w:rPr>
        <w:t>Ханты-Мансийском</w:t>
      </w:r>
      <w:proofErr w:type="gramEnd"/>
      <w:r w:rsidRPr="00E10708">
        <w:rPr>
          <w:i/>
          <w:iCs/>
          <w:sz w:val="22"/>
          <w:szCs w:val="22"/>
          <w:shd w:val="clear" w:color="auto" w:fill="FFFFFF"/>
        </w:rPr>
        <w:t xml:space="preserve"> автономном </w:t>
      </w:r>
      <w:proofErr w:type="spellStart"/>
      <w:r w:rsidRPr="00E10708">
        <w:rPr>
          <w:i/>
          <w:iCs/>
          <w:sz w:val="22"/>
          <w:szCs w:val="22"/>
          <w:shd w:val="clear" w:color="auto" w:fill="FFFFFF"/>
        </w:rPr>
        <w:t>округе-Югре</w:t>
      </w:r>
      <w:proofErr w:type="spellEnd"/>
      <w:r w:rsidRPr="00E10708">
        <w:rPr>
          <w:i/>
          <w:iCs/>
          <w:sz w:val="22"/>
          <w:szCs w:val="22"/>
          <w:shd w:val="clear" w:color="auto" w:fill="FFFFFF"/>
        </w:rPr>
        <w:t xml:space="preserve"> в г. Нягань и Октябрьском районе»</w:t>
      </w: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r>
        <w:rPr>
          <w:rFonts w:ascii="Times New Roman" w:eastAsia="Times New Roman" w:hAnsi="Times New Roman" w:cs="Times New Roman"/>
          <w:b/>
          <w:bCs/>
          <w:noProof/>
          <w:color w:val="000000"/>
          <w:u w:val="single"/>
          <w:lang w:eastAsia="ru-RU"/>
        </w:rPr>
        <w:drawing>
          <wp:anchor distT="0" distB="0" distL="114300" distR="114300" simplePos="0" relativeHeight="251659264" behindDoc="0" locked="0" layoutInCell="1" allowOverlap="0">
            <wp:simplePos x="0" y="0"/>
            <wp:positionH relativeFrom="column">
              <wp:posOffset>49530</wp:posOffset>
            </wp:positionH>
            <wp:positionV relativeFrom="line">
              <wp:posOffset>-121920</wp:posOffset>
            </wp:positionV>
            <wp:extent cx="1993900" cy="1833880"/>
            <wp:effectExtent l="19050" t="0" r="6350" b="0"/>
            <wp:wrapTopAndBottom/>
            <wp:docPr id="3" name="Рисунок 3" descr="http://allforchildren.ru/pictures/children_rastr/rast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orchildren.ru/pictures/children_rastr/rastr03.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0" cy="1833880"/>
                    </a:xfrm>
                    <a:prstGeom prst="rect">
                      <a:avLst/>
                    </a:prstGeom>
                    <a:noFill/>
                    <a:ln>
                      <a:noFill/>
                    </a:ln>
                  </pic:spPr>
                </pic:pic>
              </a:graphicData>
            </a:graphic>
          </wp:anchor>
        </w:drawing>
      </w: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Default="00C4164A" w:rsidP="00C4164A">
      <w:pPr>
        <w:shd w:val="clear" w:color="auto" w:fill="FFFFFF"/>
        <w:spacing w:after="0" w:line="240" w:lineRule="auto"/>
        <w:outlineLvl w:val="1"/>
        <w:rPr>
          <w:rFonts w:ascii="Times New Roman" w:eastAsia="Times New Roman" w:hAnsi="Times New Roman" w:cs="Times New Roman"/>
          <w:b/>
          <w:bCs/>
          <w:color w:val="000000"/>
          <w:u w:val="single"/>
          <w:lang w:eastAsia="ru-RU"/>
        </w:rPr>
      </w:pPr>
    </w:p>
    <w:p w:rsidR="00C4164A" w:rsidRPr="00C4164A" w:rsidRDefault="00C4164A" w:rsidP="00C4164A">
      <w:pPr>
        <w:shd w:val="clear" w:color="auto" w:fill="FFFFFF"/>
        <w:spacing w:after="0" w:line="240" w:lineRule="auto"/>
        <w:outlineLvl w:val="1"/>
        <w:rPr>
          <w:rFonts w:ascii="Times New Roman" w:eastAsia="Times New Roman" w:hAnsi="Times New Roman" w:cs="Times New Roman"/>
          <w:b/>
          <w:bCs/>
          <w:color w:val="000000"/>
          <w:lang w:eastAsia="ru-RU"/>
        </w:rPr>
      </w:pPr>
      <w:r w:rsidRPr="00C4164A">
        <w:rPr>
          <w:rFonts w:ascii="Times New Roman" w:eastAsia="Times New Roman" w:hAnsi="Times New Roman" w:cs="Times New Roman"/>
          <w:b/>
          <w:bCs/>
          <w:color w:val="000000"/>
          <w:u w:val="single"/>
          <w:lang w:eastAsia="ru-RU"/>
        </w:rPr>
        <w:t>Качество и безопасность детских товаров</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Некачественная детская одежда, обувь, учебная литература могут представлять вполне реальную угрозу здоровью детей. Приобретать товары для детей нужно только в местах узаконенной торговли: на специализированных рынках, школьных базарах, в магазинах. Это </w:t>
      </w:r>
      <w:proofErr w:type="gramStart"/>
      <w:r w:rsidRPr="00C4164A">
        <w:rPr>
          <w:rFonts w:ascii="Times New Roman" w:eastAsia="Times New Roman" w:hAnsi="Times New Roman" w:cs="Times New Roman"/>
          <w:color w:val="000000"/>
          <w:shd w:val="clear" w:color="auto" w:fill="FFFFFF"/>
          <w:lang w:eastAsia="ru-RU"/>
        </w:rPr>
        <w:t>обусловлено</w:t>
      </w:r>
      <w:proofErr w:type="gramEnd"/>
      <w:r w:rsidRPr="00C4164A">
        <w:rPr>
          <w:rFonts w:ascii="Times New Roman" w:eastAsia="Times New Roman" w:hAnsi="Times New Roman" w:cs="Times New Roman"/>
          <w:color w:val="000000"/>
          <w:shd w:val="clear" w:color="auto" w:fill="FFFFFF"/>
          <w:lang w:eastAsia="ru-RU"/>
        </w:rPr>
        <w:t xml:space="preserve">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 Маркировка на товаре должна быть достоверной и включать в себя следующую информацию:</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страна, где изготовлена продукция</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фирменное наименование изготовителя</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адрес изготовителя</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наименование и назначение изделия</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срок службы продукции (при необходимости)</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возраст пользователя (при необходимости)</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lastRenderedPageBreak/>
        <w:t>· вид и массовая доля (процентное содержание) натурального и химического сырья в материале верха и подкладке изделия</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размер изделия в соответствии с типовой размерной шкалой</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символ по уходу за изделием или инструкция по особенностям ухода за изделием в процессе эксплуатации.</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Вся информация должна быть представлена на русском языке.</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b/>
          <w:bCs/>
          <w:color w:val="000000"/>
          <w:u w:val="single"/>
          <w:shd w:val="clear" w:color="auto" w:fill="FFFFFF"/>
          <w:lang w:eastAsia="ru-RU"/>
        </w:rPr>
        <w:t>Рекомендации к выбору детской одежды</w:t>
      </w:r>
      <w:proofErr w:type="gramStart"/>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П</w:t>
      </w:r>
      <w:proofErr w:type="gramEnd"/>
      <w:r w:rsidRPr="00C4164A">
        <w:rPr>
          <w:rFonts w:ascii="Times New Roman" w:eastAsia="Times New Roman" w:hAnsi="Times New Roman" w:cs="Times New Roman"/>
          <w:color w:val="000000"/>
          <w:shd w:val="clear" w:color="auto" w:fill="FFFFFF"/>
          <w:lang w:eastAsia="ru-RU"/>
        </w:rPr>
        <w:t>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сковывать движения. Но и нельзя покупать одежду «на вырост», такая одежда также мешает ребенку при движении, меняет его походку, осанку.</w:t>
      </w:r>
    </w:p>
    <w:p w:rsidR="00C4164A" w:rsidRDefault="00C4164A" w:rsidP="00C4164A">
      <w:pPr>
        <w:spacing w:after="0" w:line="240" w:lineRule="auto"/>
        <w:jc w:val="both"/>
        <w:rPr>
          <w:rFonts w:ascii="Times New Roman" w:eastAsia="Times New Roman" w:hAnsi="Times New Roman" w:cs="Times New Roman"/>
          <w:color w:val="000000"/>
          <w:shd w:val="clear" w:color="auto" w:fill="FFFFFF"/>
          <w:lang w:eastAsia="ru-RU"/>
        </w:rPr>
      </w:pPr>
      <w:r w:rsidRPr="00C4164A">
        <w:rPr>
          <w:rFonts w:ascii="Times New Roman" w:eastAsia="Times New Roman" w:hAnsi="Times New Roman" w:cs="Times New Roman"/>
          <w:color w:val="000000"/>
          <w:shd w:val="clear" w:color="auto" w:fill="FFFFFF"/>
          <w:lang w:eastAsia="ru-RU"/>
        </w:rPr>
        <w:t xml:space="preserve">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w:t>
      </w:r>
      <w:proofErr w:type="gramStart"/>
      <w:r w:rsidRPr="00C4164A">
        <w:rPr>
          <w:rFonts w:ascii="Times New Roman" w:eastAsia="Times New Roman" w:hAnsi="Times New Roman" w:cs="Times New Roman"/>
          <w:color w:val="000000"/>
          <w:shd w:val="clear" w:color="auto" w:fill="FFFFFF"/>
          <w:lang w:eastAsia="ru-RU"/>
        </w:rPr>
        <w:t>в</w:t>
      </w:r>
      <w:proofErr w:type="gramEnd"/>
      <w:r w:rsidRPr="00C4164A">
        <w:rPr>
          <w:rFonts w:ascii="Times New Roman" w:eastAsia="Times New Roman" w:hAnsi="Times New Roman" w:cs="Times New Roman"/>
          <w:color w:val="000000"/>
          <w:shd w:val="clear" w:color="auto" w:fill="FFFFFF"/>
          <w:lang w:eastAsia="ru-RU"/>
        </w:rPr>
        <w:t xml:space="preserve"> то же время одежда должна легко стираться.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Одежда ребенка не должна накапливать статическое электричество, поэтому, покупая одежду для ребенка, не рекомендуется останавливать выбор на одежде из </w:t>
      </w:r>
      <w:r w:rsidRPr="00C4164A">
        <w:rPr>
          <w:rFonts w:ascii="Times New Roman" w:eastAsia="Times New Roman" w:hAnsi="Times New Roman" w:cs="Times New Roman"/>
          <w:color w:val="000000"/>
          <w:shd w:val="clear" w:color="auto" w:fill="FFFFFF"/>
          <w:lang w:eastAsia="ru-RU"/>
        </w:rPr>
        <w:lastRenderedPageBreak/>
        <w:t>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b/>
          <w:bCs/>
          <w:color w:val="000000"/>
          <w:u w:val="single"/>
          <w:shd w:val="clear" w:color="auto" w:fill="FFFFFF"/>
          <w:lang w:eastAsia="ru-RU"/>
        </w:rPr>
        <w:t>Рекомендации к выбору учебников, тетрадей, ранцев</w:t>
      </w:r>
      <w:proofErr w:type="gramStart"/>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П</w:t>
      </w:r>
      <w:proofErr w:type="gramEnd"/>
      <w:r w:rsidRPr="00C4164A">
        <w:rPr>
          <w:rFonts w:ascii="Times New Roman" w:eastAsia="Times New Roman" w:hAnsi="Times New Roman" w:cs="Times New Roman"/>
          <w:color w:val="000000"/>
          <w:shd w:val="clear" w:color="auto" w:fill="FFFFFF"/>
          <w:lang w:eastAsia="ru-RU"/>
        </w:rPr>
        <w:t>ри выборе школьной сумки, предпочтение следует отдавать ученическому ранцу, так как ношение книг и других школьных принадлежностей в ранце на спине способствует равномерному распределению нагрузки, формирует правильную осанку, освобождает руки ребенка.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Ранцы для детей начальных классов должны быть снабжены </w:t>
      </w:r>
      <w:proofErr w:type="spellStart"/>
      <w:r w:rsidRPr="00C4164A">
        <w:rPr>
          <w:rFonts w:ascii="Times New Roman" w:eastAsia="Times New Roman" w:hAnsi="Times New Roman" w:cs="Times New Roman"/>
          <w:color w:val="000000"/>
          <w:shd w:val="clear" w:color="auto" w:fill="FFFFFF"/>
          <w:lang w:eastAsia="ru-RU"/>
        </w:rPr>
        <w:t>формо</w:t>
      </w:r>
      <w:proofErr w:type="spellEnd"/>
      <w:r w:rsidRPr="00C4164A">
        <w:rPr>
          <w:rFonts w:ascii="Times New Roman" w:eastAsia="Times New Roman" w:hAnsi="Times New Roman" w:cs="Times New Roman"/>
          <w:color w:val="000000"/>
          <w:shd w:val="clear" w:color="auto" w:fill="FFFFFF"/>
          <w:lang w:eastAsia="ru-RU"/>
        </w:rPr>
        <w:t xml:space="preserve"> - устойчивой спинкой. Для учащихся 1 - 4 классов ранец без учебников должен весить не более 0,6 - 0,7кг. При этом он должен иметь  лямки шириной 3,5 - 4,0 см, и длинной  60 – 70 см, обеспечивать плотное прилегание к спине ученика и равномерное распределение веса, рекомендуемая высота ранца 30 - 36 см, ширина 6 - 10см.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Вес портфелей для обучающихся средних и старших классов должен быть не более 1 кг. Для изготовления ранцев лучше всего подходит легкий, прочный материал с водоотталкивающим покрытием, удобный для  чистки. </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xml:space="preserve">Вес ежедневного комплекта учебников и письменных принадлежностей для учащихся 1 - 2 классов в соответствии с санитарными </w:t>
      </w:r>
      <w:r w:rsidRPr="00C4164A">
        <w:rPr>
          <w:rFonts w:ascii="Times New Roman" w:eastAsia="Times New Roman" w:hAnsi="Times New Roman" w:cs="Times New Roman"/>
          <w:color w:val="000000"/>
          <w:shd w:val="clear" w:color="auto" w:fill="FFFFFF"/>
          <w:lang w:eastAsia="ru-RU"/>
        </w:rPr>
        <w:lastRenderedPageBreak/>
        <w:t>нормами не должен превышать 1,5кг, 3 - 4 классов - 2 кг, 5 - 6 классов - 2,5 кг, 7 - 8 классов - 3,5 кг, 9 - 11 классов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общеобразовательном учреждении, второй - для приготовления домашних заданий. Учебники следует покупать только в специализированных магазинах. Там можно посмотреть сопроводительные документы и детально изучить товар. В первую очередь учебник должен быть безопасным для ребенка, а значит, краска на страницах учебника не должна размазываться, если их потереть пальцами. Для изготовления учебников не допускается применение газетной бумаги.</w:t>
      </w:r>
    </w:p>
    <w:p w:rsidR="00D42F68" w:rsidRPr="00C4164A" w:rsidRDefault="00C4164A" w:rsidP="00C4164A">
      <w:pPr>
        <w:spacing w:after="0" w:line="240" w:lineRule="auto"/>
        <w:jc w:val="both"/>
        <w:rPr>
          <w:rFonts w:ascii="Times New Roman" w:hAnsi="Times New Roman" w:cs="Times New Roman"/>
        </w:rPr>
      </w:pPr>
      <w:r w:rsidRPr="00C4164A">
        <w:rPr>
          <w:rFonts w:ascii="Times New Roman" w:eastAsia="Times New Roman" w:hAnsi="Times New Roman" w:cs="Times New Roman"/>
          <w:b/>
          <w:bCs/>
          <w:color w:val="000000"/>
          <w:u w:val="single"/>
          <w:shd w:val="clear" w:color="auto" w:fill="FFFFFF"/>
          <w:lang w:eastAsia="ru-RU"/>
        </w:rPr>
        <w:t>Рекомендации к выбору игрушек</w:t>
      </w:r>
      <w:proofErr w:type="gramStart"/>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К</w:t>
      </w:r>
      <w:proofErr w:type="gramEnd"/>
      <w:r w:rsidRPr="00C4164A">
        <w:rPr>
          <w:rFonts w:ascii="Times New Roman" w:eastAsia="Times New Roman" w:hAnsi="Times New Roman" w:cs="Times New Roman"/>
          <w:color w:val="000000"/>
          <w:shd w:val="clear" w:color="auto" w:fill="FFFFFF"/>
          <w:lang w:eastAsia="ru-RU"/>
        </w:rPr>
        <w:t xml:space="preserve">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Таким образом, при выборе детских игр и игрушек необходимо обратить внимание на следующие параметры:</w:t>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lang w:eastAsia="ru-RU"/>
        </w:rPr>
        <w:br/>
      </w:r>
      <w:r w:rsidRPr="00C4164A">
        <w:rPr>
          <w:rFonts w:ascii="Times New Roman" w:eastAsia="Times New Roman" w:hAnsi="Times New Roman" w:cs="Times New Roman"/>
          <w:color w:val="000000"/>
          <w:shd w:val="clear" w:color="auto" w:fill="FFFFFF"/>
          <w:lang w:eastAsia="ru-RU"/>
        </w:rPr>
        <w:t>- наличие и состояние упаковки – без повреждений;</w:t>
      </w:r>
      <w:r w:rsidRPr="00C4164A">
        <w:rPr>
          <w:rFonts w:ascii="Times New Roman" w:eastAsia="Times New Roman" w:hAnsi="Times New Roman" w:cs="Times New Roman"/>
          <w:color w:val="000000"/>
          <w:lang w:eastAsia="ru-RU"/>
        </w:rPr>
        <w:br/>
      </w:r>
    </w:p>
    <w:sectPr w:rsidR="00D42F68" w:rsidRPr="00C4164A" w:rsidSect="00C4164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C4164A"/>
    <w:rsid w:val="0026790C"/>
    <w:rsid w:val="00976D17"/>
    <w:rsid w:val="00C4164A"/>
    <w:rsid w:val="00D4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4A"/>
  </w:style>
  <w:style w:type="paragraph" w:styleId="2">
    <w:name w:val="heading 2"/>
    <w:basedOn w:val="a"/>
    <w:link w:val="20"/>
    <w:uiPriority w:val="9"/>
    <w:qFormat/>
    <w:rsid w:val="00C41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6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1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50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2018-08-17T07:32:00Z</cp:lastPrinted>
  <dcterms:created xsi:type="dcterms:W3CDTF">2018-08-17T07:17:00Z</dcterms:created>
  <dcterms:modified xsi:type="dcterms:W3CDTF">2018-08-17T07:50:00Z</dcterms:modified>
</cp:coreProperties>
</file>